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04" w:rsidRDefault="00126704" w:rsidP="00C57FE5">
      <w:pPr>
        <w:rPr>
          <w:b/>
        </w:rPr>
      </w:pPr>
      <w:r>
        <w:rPr>
          <w:b/>
        </w:rPr>
        <w:t xml:space="preserve">Appendix </w:t>
      </w:r>
      <w:r w:rsidR="00912CEE">
        <w:rPr>
          <w:b/>
        </w:rPr>
        <w:t>1</w:t>
      </w:r>
    </w:p>
    <w:p w:rsidR="00126704" w:rsidRDefault="00310E9C" w:rsidP="00C57FE5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89pt;margin-top:107.4pt;width:96.75pt;height:1.5pt;flip:x y;z-index:251677696" o:connectortype="straight"/>
        </w:pict>
      </w:r>
      <w:r>
        <w:rPr>
          <w:b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8" type="#_x0000_t110" style="position:absolute;margin-left:285.75pt;margin-top:71.4pt;width:152.25pt;height:75pt;z-index:251675648" fillcolor="#f79646 [3209]" strokecolor="#f2f2f2 [3041]" strokeweight="3pt">
            <v:shadow on="t" type="perspective" color="#974706 [1609]" opacity=".5" offset="1pt" offset2="-1pt"/>
            <v:textbox style="mso-next-textbox:#_x0000_s1048">
              <w:txbxContent>
                <w:p w:rsidR="002F39E9" w:rsidRDefault="002F39E9">
                  <w:r>
                    <w:t>ED/MD&amp;CEO (Approval)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7" type="#_x0000_t32" style="position:absolute;margin-left:361.5pt;margin-top:146.4pt;width:0;height:33pt;flip:y;z-index:251674624" o:connectortype="straight">
            <v:stroke endarrow="block"/>
          </v:shape>
        </w:pict>
      </w:r>
      <w:r>
        <w:rPr>
          <w:b/>
          <w:noProof/>
        </w:rPr>
        <w:pict>
          <v:shape id="_x0000_s1043" type="#_x0000_t32" style="position:absolute;margin-left:50.2pt;margin-top:258.75pt;width:.05pt;height:96.15pt;flip:y;z-index:251670528" o:connectortype="straight">
            <v:stroke startarrow="block" endarrow="block"/>
          </v:shape>
        </w:pict>
      </w:r>
      <w:r>
        <w:rPr>
          <w:b/>
          <w:noProof/>
        </w:rPr>
        <w:pict>
          <v:shape id="_x0000_s1050" type="#_x0000_t32" style="position:absolute;margin-left:249pt;margin-top:211.75pt;width:74.25pt;height:0;z-index:251676672" o:connectortype="straight">
            <v:stroke startarrow="block" endarrow="block"/>
          </v:shape>
        </w:pict>
      </w:r>
      <w:r>
        <w:rPr>
          <w:b/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45" type="#_x0000_t114" style="position:absolute;margin-left:496.5pt;margin-top:189.9pt;width:96.75pt;height:60.75pt;z-index:251672576" fillcolor="#9bbb59 [3206]" strokecolor="#f2f2f2 [3041]" strokeweight="3pt">
            <v:shadow on="t" type="perspective" color="#4e6128 [1606]" opacity=".5" offset="1pt" offset2="-1pt"/>
            <v:textbox style="mso-next-textbox:#_x0000_s1045">
              <w:txbxContent>
                <w:p w:rsidR="001B190E" w:rsidRDefault="001B190E">
                  <w:r>
                    <w:t>Strategy Unit</w:t>
                  </w:r>
                </w:p>
                <w:p w:rsidR="001B190E" w:rsidRDefault="001B190E">
                  <w:r>
                    <w:t>(Budget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0" type="#_x0000_t32" style="position:absolute;margin-left:437.25pt;margin-top:211.8pt;width:59.25pt;height:.05pt;flip:x;z-index:251667456" o:connectortype="straight">
            <v:stroke startarrow="block" endarrow="block"/>
          </v:shape>
        </w:pict>
      </w:r>
      <w:r>
        <w:rPr>
          <w:b/>
          <w:noProof/>
        </w:rPr>
        <w:pict>
          <v:shape id="_x0000_s1033" type="#_x0000_t114" style="position:absolute;margin-left:324pt;margin-top:179.4pt;width:114pt;height:75.6pt;z-index:251661312" fillcolor="#4bacc6 [3208]" strokecolor="#f2f2f2 [3041]" strokeweight="3pt">
            <v:shadow on="t" type="perspective" color="#205867 [1608]" opacity=".5" offset="1pt" offset2="-1pt"/>
            <v:textbox style="mso-next-textbox:#_x0000_s1033">
              <w:txbxContent>
                <w:p w:rsidR="00284D07" w:rsidRDefault="00284D07"/>
                <w:p w:rsidR="00284D07" w:rsidRDefault="00332971">
                  <w:r>
                    <w:t>Internal Control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2" type="#_x0000_t32" style="position:absolute;margin-left:188.25pt;margin-top:258.75pt;width:0;height:127.65pt;flip:y;z-index:251669504" o:connectortype="straight">
            <v:stroke endarrow="block"/>
          </v:shape>
        </w:pict>
      </w:r>
      <w:r>
        <w:rPr>
          <w:b/>
          <w:noProof/>
        </w:rPr>
        <w:pict>
          <v:shape id="_x0000_s1041" type="#_x0000_t32" style="position:absolute;margin-left:98.25pt;margin-top:386.4pt;width:90pt;height:0;z-index:251668480" o:connectortype="straight"/>
        </w:pict>
      </w:r>
      <w:r>
        <w:rPr>
          <w:b/>
          <w:noProof/>
        </w:rPr>
        <w:pict>
          <v:shape id="_x0000_s1039" type="#_x0000_t110" style="position:absolute;margin-left:126.75pt;margin-top:164.05pt;width:123pt;height:94.7pt;z-index:251666432" fillcolor="#c0504d [3205]" strokecolor="#f2f2f2 [3041]" strokeweight="3pt">
            <v:shadow on="t" type="perspective" color="#622423 [1605]" opacity=".5" offset="1pt" offset2="-1pt"/>
            <v:textbox style="mso-next-textbox:#_x0000_s1039">
              <w:txbxContent>
                <w:p w:rsidR="00090DE2" w:rsidRPr="001B4B74" w:rsidRDefault="003636FF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1B4B74">
                    <w:rPr>
                      <w:rFonts w:ascii="Corbel" w:hAnsi="Corbel"/>
                      <w:sz w:val="16"/>
                      <w:szCs w:val="16"/>
                    </w:rPr>
                    <w:t>CR Documentation</w:t>
                  </w:r>
                  <w:r w:rsidR="00332971" w:rsidRPr="001B4B74">
                    <w:rPr>
                      <w:rFonts w:ascii="Corbel" w:hAnsi="Corbel"/>
                      <w:sz w:val="16"/>
                      <w:szCs w:val="16"/>
                    </w:rPr>
                    <w:t xml:space="preserve"> &amp; RFP</w:t>
                  </w:r>
                  <w:r w:rsidR="00C22415" w:rsidRPr="001B4B74">
                    <w:rPr>
                      <w:rFonts w:ascii="Corbel" w:hAnsi="Corbel"/>
                      <w:sz w:val="16"/>
                      <w:szCs w:val="16"/>
                    </w:rPr>
                    <w:t>/Invoice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44" type="#_x0000_t32" style="position:absolute;margin-left:62.25pt;margin-top:211.75pt;width:64.5pt;height:.05pt;z-index:251671552" o:connectortype="straight">
            <v:stroke endarrow="block"/>
          </v:shape>
        </w:pict>
      </w:r>
      <w:r>
        <w:rPr>
          <w:b/>
          <w:noProof/>
        </w:rPr>
        <w:pict>
          <v:shape id="_x0000_s1035" type="#_x0000_t32" style="position:absolute;margin-left:-8.25pt;margin-top:259.1pt;width:0;height:107.8pt;z-index:251663360" o:connectortype="straight">
            <v:stroke endarrow="block"/>
          </v:shape>
        </w:pict>
      </w:r>
      <w:r>
        <w:rPr>
          <w:b/>
          <w:noProof/>
        </w:rPr>
        <w:pict>
          <v:shape id="_x0000_s1034" type="#_x0000_t110" style="position:absolute;margin-left:-36pt;margin-top:343.65pt;width:134.25pt;height:85.35pt;z-index:251662336" fillcolor="#8064a2 [3207]" strokecolor="#f2f2f2 [3041]" strokeweight="3pt">
            <v:shadow on="t" type="perspective" color="#3f3151 [1607]" opacity=".5" offset="1pt" offset2="-1pt"/>
            <v:textbox style="mso-next-textbox:#_x0000_s1034">
              <w:txbxContent>
                <w:p w:rsidR="00016988" w:rsidRPr="001603EB" w:rsidRDefault="001603EB" w:rsidP="001603EB">
                  <w:r>
                    <w:t xml:space="preserve">       ED Concurrence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6" type="#_x0000_t32" style="position:absolute;margin-left:15pt;margin-top:114.15pt;width:0;height:69pt;z-index:251664384" o:connectortype="straight">
            <v:stroke endarrow="block"/>
          </v:shape>
        </w:pict>
      </w:r>
      <w:r>
        <w:rPr>
          <w:b/>
          <w:noProof/>
        </w:rPr>
        <w:pict>
          <v:roundrect id="_x0000_s1032" style="position:absolute;margin-left:-36pt;margin-top:182.8pt;width:98.25pt;height:75.95pt;z-index:251660288" arcsize="10923f" fillcolor="#4f81bd [3204]" strokecolor="#f2f2f2 [3041]" strokeweight="3pt">
            <v:shadow on="t" type="perspective" color="#243f60 [1604]" opacity=".5" offset="1pt" offset2="-1pt"/>
            <v:textbox style="mso-next-textbox:#_x0000_s1032">
              <w:txbxContent>
                <w:p w:rsidR="00C22415" w:rsidRDefault="001603EB" w:rsidP="001603EB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  <w:r w:rsidRPr="001603EB">
                    <w:rPr>
                      <w:rFonts w:ascii="Corbel" w:hAnsi="Corbel"/>
                      <w:sz w:val="18"/>
                      <w:szCs w:val="18"/>
                    </w:rPr>
                    <w:t xml:space="preserve">     HOD </w:t>
                  </w:r>
                </w:p>
                <w:p w:rsidR="001603EB" w:rsidRDefault="001603EB" w:rsidP="001603EB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  <w:r w:rsidRPr="001603EB">
                    <w:rPr>
                      <w:rFonts w:ascii="Corbel" w:hAnsi="Corbel"/>
                      <w:sz w:val="18"/>
                      <w:szCs w:val="18"/>
                    </w:rPr>
                    <w:t>Justification/</w:t>
                  </w:r>
                </w:p>
                <w:p w:rsidR="001603EB" w:rsidRPr="001603EB" w:rsidRDefault="001603EB" w:rsidP="001603EB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  <w:r w:rsidRPr="001603EB">
                    <w:rPr>
                      <w:rFonts w:ascii="Corbel" w:hAnsi="Corbel"/>
                      <w:sz w:val="18"/>
                      <w:szCs w:val="18"/>
                    </w:rPr>
                    <w:t>Recommendation</w:t>
                  </w:r>
                </w:p>
                <w:p w:rsidR="001603EB" w:rsidRDefault="001603EB"/>
              </w:txbxContent>
            </v:textbox>
          </v:roundrect>
        </w:pict>
      </w:r>
      <w:r>
        <w:rPr>
          <w:b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-30pt;margin-top:66.15pt;width:106.5pt;height:48pt;z-index:251659264" fillcolor="#9bbb59 [3206]" strokecolor="#f2f2f2 [3041]" strokeweight="3pt">
            <v:shadow on="t" type="perspective" color="#4e6128 [1606]" opacity=".5" offset="1pt" offset2="-1pt"/>
            <v:textbox style="mso-next-textbox:#_x0000_s1031">
              <w:txbxContent>
                <w:p w:rsidR="00016988" w:rsidRPr="001603EB" w:rsidRDefault="00090DE2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sz w:val="18"/>
                      <w:szCs w:val="18"/>
                    </w:rPr>
                    <w:t xml:space="preserve">    </w:t>
                  </w:r>
                  <w:r w:rsidR="00016988" w:rsidRPr="001603EB">
                    <w:rPr>
                      <w:rFonts w:ascii="Corbel" w:hAnsi="Corbel"/>
                      <w:sz w:val="18"/>
                      <w:szCs w:val="18"/>
                    </w:rPr>
                    <w:t xml:space="preserve">Request (Various </w:t>
                  </w:r>
                  <w:r>
                    <w:rPr>
                      <w:rFonts w:ascii="Corbel" w:hAnsi="Corbel"/>
                      <w:sz w:val="18"/>
                      <w:szCs w:val="18"/>
                    </w:rPr>
                    <w:t xml:space="preserve">        </w:t>
                  </w:r>
                  <w:r w:rsidR="00016988" w:rsidRPr="001603EB">
                    <w:rPr>
                      <w:rFonts w:ascii="Corbel" w:hAnsi="Corbel"/>
                      <w:sz w:val="18"/>
                      <w:szCs w:val="18"/>
                    </w:rPr>
                    <w:t>Departments)</w:t>
                  </w:r>
                </w:p>
              </w:txbxContent>
            </v:textbox>
          </v:shape>
        </w:pict>
      </w:r>
      <w:r w:rsidR="00011BE0">
        <w:rPr>
          <w:b/>
        </w:rPr>
        <w:t xml:space="preserve">FCMB Pensions </w:t>
      </w:r>
      <w:r w:rsidR="00C22415" w:rsidRPr="00011BE0">
        <w:rPr>
          <w:b/>
        </w:rPr>
        <w:t>Procurement</w:t>
      </w:r>
      <w:r w:rsidR="00857C05">
        <w:rPr>
          <w:b/>
        </w:rPr>
        <w:t xml:space="preserve"> Approval</w:t>
      </w:r>
      <w:r w:rsidR="00C22415" w:rsidRPr="00011BE0">
        <w:rPr>
          <w:b/>
        </w:rPr>
        <w:t xml:space="preserve"> Flowchart</w:t>
      </w:r>
    </w:p>
    <w:p w:rsidR="00C57FE5" w:rsidRDefault="00C57FE5" w:rsidP="00C57FE5"/>
    <w:p w:rsidR="00C57FE5" w:rsidRDefault="00C57FE5" w:rsidP="00C57FE5"/>
    <w:p w:rsidR="00C57FE5" w:rsidRDefault="00C57FE5" w:rsidP="00C57FE5"/>
    <w:p w:rsidR="00C57FE5" w:rsidRDefault="00310E9C" w:rsidP="00C57FE5">
      <w:r w:rsidRPr="00310E9C">
        <w:rPr>
          <w:b/>
          <w:noProof/>
        </w:rPr>
        <w:pict>
          <v:shape id="_x0000_s1138" type="#_x0000_t32" style="position:absolute;margin-left:188.25pt;margin-top:5.65pt;width:97.5pt;height:1.5pt;flip:x y;z-index:251728896" o:connectortype="straight"/>
        </w:pict>
      </w:r>
      <w:r w:rsidRPr="00310E9C">
        <w:rPr>
          <w:b/>
          <w:noProof/>
        </w:rPr>
        <w:pict>
          <v:shape id="_x0000_s1053" type="#_x0000_t32" style="position:absolute;margin-left:188.25pt;margin-top:5.65pt;width:0;height:55.5pt;z-index:251678720" o:connectortype="straight">
            <v:stroke endarrow="block"/>
          </v:shape>
        </w:pict>
      </w:r>
      <w:r w:rsidR="008E1B29">
        <w:t xml:space="preserve">                                                                             </w:t>
      </w:r>
    </w:p>
    <w:p w:rsidR="00C57FE5" w:rsidRDefault="00C57FE5" w:rsidP="00C57FE5"/>
    <w:p w:rsidR="00C57FE5" w:rsidRDefault="00C57FE5" w:rsidP="00C57FE5"/>
    <w:p w:rsidR="00C57FE5" w:rsidRDefault="00C57FE5" w:rsidP="00C57FE5"/>
    <w:p w:rsidR="00C57FE5" w:rsidRPr="00C57FE5" w:rsidRDefault="00310E9C" w:rsidP="00C57FE5">
      <w:r>
        <w:rPr>
          <w:noProof/>
        </w:rPr>
        <w:pict>
          <v:shape id="_x0000_s1140" type="#_x0000_t32" style="position:absolute;margin-left:249.75pt;margin-top:8.3pt;width:0;height:98.05pt;z-index:251729920" o:connectortype="straight"/>
        </w:pict>
      </w:r>
    </w:p>
    <w:p w:rsidR="00C57FE5" w:rsidRPr="00C57FE5" w:rsidRDefault="00C57FE5" w:rsidP="00C57FE5"/>
    <w:p w:rsidR="00C57FE5" w:rsidRPr="00C57FE5" w:rsidRDefault="00C57FE5" w:rsidP="00C57FE5"/>
    <w:p w:rsidR="00C57FE5" w:rsidRPr="00C57FE5" w:rsidRDefault="00310E9C" w:rsidP="00C57FE5"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132" type="#_x0000_t134" style="position:absolute;margin-left:501.75pt;margin-top:6.05pt;width:87pt;height:48pt;z-index:251722752" fillcolor="#8064a2 [3207]" strokecolor="#f2f2f2 [3041]" strokeweight="3pt">
            <v:shadow on="t" type="perspective" color="#3f3151 [1607]" opacity=".5" offset="1pt" offset2="-1pt"/>
            <v:textbox style="mso-next-textbox:#_x0000_s1132">
              <w:txbxContent>
                <w:p w:rsidR="00376CDA" w:rsidRDefault="00376CDA">
                  <w:r>
                    <w:t>Delivery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30" type="#_x0000_t176" style="position:absolute;margin-left:340.5pt;margin-top:6.05pt;width:97.5pt;height:48pt;z-index:251720704" fillcolor="#4f81bd [3204]" strokecolor="#f2f2f2 [3041]" strokeweight="3pt">
            <v:shadow on="t" type="perspective" color="#243f60 [1604]" opacity=".5" offset="1pt" offset2="-1pt"/>
            <v:textbox style="mso-next-textbox:#_x0000_s1130">
              <w:txbxContent>
                <w:p w:rsidR="003636FF" w:rsidRDefault="003636FF" w:rsidP="003636FF">
                  <w:pPr>
                    <w:jc w:val="center"/>
                  </w:pPr>
                  <w:r>
                    <w:t>Raise LPO</w:t>
                  </w:r>
                </w:p>
              </w:txbxContent>
            </v:textbox>
          </v:shape>
        </w:pict>
      </w:r>
      <w:r w:rsidR="006101EA">
        <w:tab/>
        <w:t xml:space="preserve">      </w:t>
      </w:r>
      <w:r w:rsidR="008E1B29">
        <w:tab/>
      </w:r>
      <w:r w:rsidR="008E1B29">
        <w:tab/>
      </w:r>
      <w:r w:rsidR="008E1B29">
        <w:tab/>
      </w:r>
    </w:p>
    <w:p w:rsidR="00C57FE5" w:rsidRPr="00C57FE5" w:rsidRDefault="00310E9C" w:rsidP="00C57FE5">
      <w:r>
        <w:rPr>
          <w:noProof/>
        </w:rPr>
        <w:pict>
          <v:shape id="_x0000_s1131" type="#_x0000_t32" style="position:absolute;margin-left:438pt;margin-top:4.6pt;width:63.75pt;height:0;z-index:251721728" o:connectortype="straight">
            <v:stroke endarrow="block"/>
          </v:shape>
        </w:pict>
      </w:r>
      <w:r>
        <w:rPr>
          <w:noProof/>
        </w:rPr>
        <w:pict>
          <v:shape id="_x0000_s1129" type="#_x0000_t32" style="position:absolute;margin-left:249.75pt;margin-top:4.6pt;width:90.75pt;height:0;z-index:251719680" o:connectortype="straight">
            <v:stroke endarrow="block"/>
          </v:shape>
        </w:pict>
      </w:r>
    </w:p>
    <w:p w:rsidR="00C57FE5" w:rsidRPr="00C57FE5" w:rsidRDefault="00310E9C" w:rsidP="00C57FE5">
      <w:r>
        <w:rPr>
          <w:noProof/>
        </w:rPr>
        <w:pict>
          <v:shape id="_x0000_s1133" type="#_x0000_t32" style="position:absolute;margin-left:551.25pt;margin-top:3.15pt;width:0;height:43.5pt;z-index:251723776" o:connectortype="straight">
            <v:stroke endarrow="block"/>
          </v:shape>
        </w:pict>
      </w:r>
      <w:r w:rsidR="008E1B29">
        <w:tab/>
      </w:r>
      <w:r w:rsidR="008E1B29">
        <w:tab/>
      </w:r>
      <w:r w:rsidR="008E1B29">
        <w:tab/>
      </w:r>
      <w:r w:rsidR="008E1B29">
        <w:tab/>
      </w:r>
      <w:r w:rsidR="008E1B29">
        <w:tab/>
      </w:r>
    </w:p>
    <w:p w:rsidR="00C57FE5" w:rsidRDefault="00310E9C" w:rsidP="00C57FE5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34" type="#_x0000_t116" style="position:absolute;margin-left:507.75pt;margin-top:21.2pt;width:90.75pt;height:51.6pt;z-index:251724800" fillcolor="#f79646 [3209]" strokecolor="#f2f2f2 [3041]" strokeweight="3pt">
            <v:shadow on="t" type="perspective" color="#974706 [1609]" opacity=".5" offset="1pt" offset2="-1pt"/>
            <v:textbox style="mso-next-textbox:#_x0000_s1134">
              <w:txbxContent>
                <w:p w:rsidR="00376CDA" w:rsidRDefault="00376CDA">
                  <w:r>
                    <w:t>ICU Verification</w:t>
                  </w:r>
                </w:p>
              </w:txbxContent>
            </v:textbox>
          </v:shape>
        </w:pict>
      </w:r>
      <w:r w:rsidR="008E1B29">
        <w:tab/>
      </w:r>
      <w:r w:rsidR="008E1B29">
        <w:tab/>
      </w:r>
      <w:r w:rsidR="008E1B29">
        <w:tab/>
      </w:r>
      <w:r w:rsidR="008E1B29">
        <w:tab/>
      </w:r>
    </w:p>
    <w:p w:rsidR="001B4B74" w:rsidRDefault="006101EA" w:rsidP="00126704">
      <w:r>
        <w:tab/>
      </w:r>
      <w:r>
        <w:tab/>
      </w:r>
      <w:r>
        <w:tab/>
      </w:r>
    </w:p>
    <w:p w:rsidR="00126704" w:rsidRDefault="00126704" w:rsidP="00126704"/>
    <w:p w:rsidR="00126704" w:rsidRPr="00126704" w:rsidRDefault="00126704" w:rsidP="00126704">
      <w:pPr>
        <w:rPr>
          <w:b/>
        </w:rPr>
      </w:pPr>
      <w:r>
        <w:rPr>
          <w:b/>
        </w:rPr>
        <w:lastRenderedPageBreak/>
        <w:t xml:space="preserve">Appendix </w:t>
      </w:r>
      <w:r w:rsidR="00912CEE">
        <w:rPr>
          <w:b/>
        </w:rPr>
        <w:t>2</w:t>
      </w:r>
    </w:p>
    <w:p w:rsidR="00C57FE5" w:rsidRPr="003636FF" w:rsidRDefault="00C57FE5" w:rsidP="00C57FE5">
      <w:pPr>
        <w:rPr>
          <w:b/>
        </w:rPr>
      </w:pPr>
      <w:r>
        <w:rPr>
          <w:b/>
        </w:rPr>
        <w:t xml:space="preserve">FCMB Pensions </w:t>
      </w:r>
      <w:r w:rsidRPr="00011BE0">
        <w:rPr>
          <w:b/>
        </w:rPr>
        <w:t>Procurement</w:t>
      </w:r>
      <w:r w:rsidR="00FB383C">
        <w:rPr>
          <w:b/>
        </w:rPr>
        <w:t xml:space="preserve"> </w:t>
      </w:r>
      <w:r w:rsidR="00857C05">
        <w:rPr>
          <w:b/>
        </w:rPr>
        <w:t>Payment</w:t>
      </w:r>
      <w:r w:rsidR="003636FF">
        <w:rPr>
          <w:b/>
        </w:rPr>
        <w:t xml:space="preserve"> Flowchart</w:t>
      </w:r>
    </w:p>
    <w:p w:rsidR="00C57FE5" w:rsidRPr="00C57FE5" w:rsidRDefault="00C57FE5" w:rsidP="00C57FE5"/>
    <w:p w:rsidR="00C57FE5" w:rsidRPr="00C57FE5" w:rsidRDefault="00310E9C" w:rsidP="00C57FE5">
      <w:r w:rsidRPr="00310E9C">
        <w:rPr>
          <w:b/>
          <w:noProof/>
        </w:rPr>
        <w:pict>
          <v:shape id="_x0000_s1054" type="#_x0000_t109" style="position:absolute;margin-left:-3pt;margin-top:11.55pt;width:126.75pt;height:70.4pt;z-index:251680768" fillcolor="#9bbb59 [3206]" strokecolor="#f2f2f2 [3041]" strokeweight="3pt">
            <v:shadow on="t" type="perspective" color="#4e6128 [1606]" opacity=".5" offset="1pt" offset2="-1pt"/>
            <v:textbox style="mso-next-textbox:#_x0000_s1054">
              <w:txbxContent>
                <w:p w:rsidR="00C57FE5" w:rsidRPr="001603EB" w:rsidRDefault="00C57FE5" w:rsidP="00C57FE5">
                  <w:pPr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sz w:val="18"/>
                      <w:szCs w:val="18"/>
                    </w:rPr>
                    <w:t xml:space="preserve">    </w:t>
                  </w:r>
                  <w:r w:rsidR="00857C05">
                    <w:rPr>
                      <w:rFonts w:ascii="Corbel" w:hAnsi="Corbel"/>
                      <w:sz w:val="18"/>
                      <w:szCs w:val="18"/>
                    </w:rPr>
                    <w:t>CR (Generate PO)</w:t>
                  </w:r>
                </w:p>
              </w:txbxContent>
            </v:textbox>
          </v:shape>
        </w:pict>
      </w:r>
      <w:r w:rsidRPr="00310E9C">
        <w:rPr>
          <w:b/>
          <w:noProof/>
        </w:rPr>
        <w:pict>
          <v:shape id="_x0000_s1068" type="#_x0000_t110" style="position:absolute;margin-left:408.75pt;margin-top:6.95pt;width:152.25pt;height:75pt;z-index:251695104" fillcolor="#8064a2 [3207]" strokecolor="#f2f2f2 [3041]" strokeweight="3pt">
            <v:shadow on="t" type="perspective" color="#3f3151 [1607]" opacity=".5" offset="1pt" offset2="-1pt"/>
            <v:textbox style="mso-next-textbox:#_x0000_s1068">
              <w:txbxContent>
                <w:p w:rsidR="00C57FE5" w:rsidRDefault="00C57FE5" w:rsidP="00C57FE5">
                  <w:r>
                    <w:t>ED/MD&amp;CEO (Approval)</w:t>
                  </w:r>
                </w:p>
              </w:txbxContent>
            </v:textbox>
          </v:shape>
        </w:pict>
      </w:r>
      <w:r w:rsidRPr="00310E9C">
        <w:rPr>
          <w:b/>
          <w:noProof/>
        </w:rPr>
        <w:pict>
          <v:shape id="_x0000_s1060" type="#_x0000_t110" style="position:absolute;margin-left:194.25pt;margin-top:6.95pt;width:147.75pt;height:81pt;z-index:251686912" fillcolor="#c0504d [3205]" strokecolor="#f2f2f2 [3041]" strokeweight="3pt">
            <v:shadow on="t" type="perspective" color="#622423 [1605]" opacity=".5" offset="1pt" offset2="-1pt"/>
            <v:textbox style="mso-next-textbox:#_x0000_s1060">
              <w:txbxContent>
                <w:p w:rsidR="00C57FE5" w:rsidRPr="00C22415" w:rsidRDefault="003976EA" w:rsidP="00C57FE5">
                  <w:r>
                    <w:t>ICU Review</w:t>
                  </w:r>
                </w:p>
              </w:txbxContent>
            </v:textbox>
          </v:shape>
        </w:pict>
      </w:r>
    </w:p>
    <w:p w:rsidR="00C57FE5" w:rsidRPr="00C57FE5" w:rsidRDefault="00310E9C" w:rsidP="00C57FE5">
      <w:r w:rsidRPr="00310E9C">
        <w:rPr>
          <w:b/>
          <w:noProof/>
        </w:rPr>
        <w:pict>
          <v:shape id="_x0000_s1061" type="#_x0000_t32" style="position:absolute;margin-left:342pt;margin-top:22.1pt;width:66.75pt;height:.05pt;flip:x;z-index:251687936" o:connectortype="straight">
            <v:stroke startarrow="block" endarrow="block"/>
          </v:shape>
        </w:pict>
      </w:r>
      <w:r w:rsidRPr="00310E9C">
        <w:rPr>
          <w:b/>
          <w:noProof/>
        </w:rPr>
        <w:pict>
          <v:shape id="_x0000_s1069" type="#_x0000_t32" style="position:absolute;margin-left:123.75pt;margin-top:22.15pt;width:74.25pt;height:0;z-index:251696128" o:connectortype="straight">
            <v:stroke startarrow="block" endarrow="block"/>
          </v:shape>
        </w:pict>
      </w:r>
    </w:p>
    <w:p w:rsidR="00C57FE5" w:rsidRPr="00C57FE5" w:rsidRDefault="00C57FE5" w:rsidP="00C57FE5"/>
    <w:p w:rsidR="00C57FE5" w:rsidRPr="00C57FE5" w:rsidRDefault="00310E9C" w:rsidP="00C57FE5">
      <w:r>
        <w:rPr>
          <w:noProof/>
        </w:rPr>
        <w:pict>
          <v:shape id="_x0000_s1135" type="#_x0000_t32" style="position:absolute;margin-left:79.5pt;margin-top:11.65pt;width:.05pt;height:53.3pt;flip:y;z-index:251725824" o:connectortype="straight">
            <v:stroke endarrow="block"/>
          </v:shape>
        </w:pict>
      </w:r>
      <w:r w:rsidRPr="00310E9C">
        <w:rPr>
          <w:b/>
          <w:noProof/>
        </w:rPr>
        <w:pict>
          <v:shape id="_x0000_s1059" type="#_x0000_t32" style="position:absolute;margin-left:39pt;margin-top:11.65pt;width:.05pt;height:60.05pt;z-index:251685888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margin-left:484.5pt;margin-top:11.65pt;width:0;height:60.05pt;z-index:251727872" o:connectortype="straight">
            <v:stroke endarrow="block"/>
          </v:shape>
        </w:pict>
      </w:r>
    </w:p>
    <w:p w:rsidR="00C57FE5" w:rsidRPr="00C57FE5" w:rsidRDefault="00C57FE5" w:rsidP="00C57FE5"/>
    <w:p w:rsidR="00C57FE5" w:rsidRPr="00C57FE5" w:rsidRDefault="00310E9C" w:rsidP="00C57FE5">
      <w:r w:rsidRPr="00310E9C">
        <w:rPr>
          <w:b/>
          <w:noProof/>
        </w:rPr>
        <w:pict>
          <v:roundrect id="_x0000_s1055" style="position:absolute;margin-left:-3pt;margin-top:14.05pt;width:126.75pt;height:75.95pt;z-index:251681792" arcsize="10923f" fillcolor="#4f81bd [3204]" strokecolor="#f2f2f2 [3041]" strokeweight="3pt">
            <v:shadow on="t" type="perspective" color="#243f60 [1604]" opacity=".5" offset="1pt" offset2="-1pt"/>
            <v:textbox style="mso-next-textbox:#_x0000_s1055">
              <w:txbxContent>
                <w:p w:rsidR="00C57FE5" w:rsidRDefault="00857C05" w:rsidP="00C57FE5">
                  <w:r>
                    <w:t>Requesting Department</w:t>
                  </w:r>
                </w:p>
                <w:p w:rsidR="003976EA" w:rsidRDefault="003976EA" w:rsidP="00C57FE5">
                  <w:r>
                    <w:t>(Certify)</w:t>
                  </w:r>
                </w:p>
              </w:txbxContent>
            </v:textbox>
          </v:roundrect>
        </w:pict>
      </w:r>
      <w:r w:rsidRPr="00310E9C">
        <w:rPr>
          <w:b/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136" type="#_x0000_t111" style="position:absolute;margin-left:404.25pt;margin-top:20.8pt;width:165pt;height:48pt;z-index:251726848" fillcolor="#f79646 [3209]" strokecolor="#f2f2f2 [3041]" strokeweight="3pt">
            <v:shadow on="t" type="perspective" color="#974706 [1609]" opacity=".5" offset="1pt" offset2="-1pt"/>
            <v:textbox style="mso-next-textbox:#_x0000_s1136">
              <w:txbxContent>
                <w:p w:rsidR="003976EA" w:rsidRDefault="003976EA">
                  <w:proofErr w:type="spellStart"/>
                  <w:r>
                    <w:t>FinCon</w:t>
                  </w:r>
                  <w:proofErr w:type="spellEnd"/>
                  <w:r>
                    <w:t xml:space="preserve"> (Payment)</w:t>
                  </w:r>
                </w:p>
              </w:txbxContent>
            </v:textbox>
          </v:shape>
        </w:pict>
      </w:r>
    </w:p>
    <w:p w:rsidR="00C57FE5" w:rsidRPr="00C57FE5" w:rsidRDefault="00C57FE5" w:rsidP="00C57FE5"/>
    <w:p w:rsidR="00C57FE5" w:rsidRDefault="00C57FE5" w:rsidP="00C57FE5"/>
    <w:p w:rsidR="00C57FE5" w:rsidRDefault="00C57FE5" w:rsidP="00C57FE5">
      <w:pPr>
        <w:tabs>
          <w:tab w:val="left" w:pos="4785"/>
        </w:tabs>
      </w:pPr>
      <w:r>
        <w:tab/>
      </w:r>
    </w:p>
    <w:p w:rsidR="00C57FE5" w:rsidRDefault="00C57FE5" w:rsidP="00C57FE5">
      <w:pPr>
        <w:tabs>
          <w:tab w:val="left" w:pos="4785"/>
        </w:tabs>
      </w:pPr>
    </w:p>
    <w:p w:rsidR="00C57FE5" w:rsidRDefault="00C57FE5" w:rsidP="00C57FE5">
      <w:pPr>
        <w:tabs>
          <w:tab w:val="left" w:pos="4785"/>
        </w:tabs>
      </w:pPr>
    </w:p>
    <w:p w:rsidR="00C57FE5" w:rsidRDefault="00C57FE5" w:rsidP="00C57FE5">
      <w:pPr>
        <w:tabs>
          <w:tab w:val="left" w:pos="4785"/>
        </w:tabs>
      </w:pPr>
    </w:p>
    <w:p w:rsidR="00871D4F" w:rsidRDefault="00871D4F" w:rsidP="00C57FE5">
      <w:pPr>
        <w:tabs>
          <w:tab w:val="left" w:pos="4785"/>
        </w:tabs>
      </w:pPr>
    </w:p>
    <w:p w:rsidR="00871D4F" w:rsidRPr="00C57FE5" w:rsidRDefault="00871D4F" w:rsidP="00C57FE5">
      <w:pPr>
        <w:tabs>
          <w:tab w:val="left" w:pos="4785"/>
        </w:tabs>
      </w:pPr>
    </w:p>
    <w:sectPr w:rsidR="00871D4F" w:rsidRPr="00C57FE5" w:rsidSect="004B7A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0CE"/>
    <w:rsid w:val="00011BE0"/>
    <w:rsid w:val="00016988"/>
    <w:rsid w:val="00090DE2"/>
    <w:rsid w:val="00126704"/>
    <w:rsid w:val="0013348F"/>
    <w:rsid w:val="00151C55"/>
    <w:rsid w:val="001603EB"/>
    <w:rsid w:val="001A5E75"/>
    <w:rsid w:val="001B190E"/>
    <w:rsid w:val="001B4B74"/>
    <w:rsid w:val="00250BDF"/>
    <w:rsid w:val="0025785C"/>
    <w:rsid w:val="00284D07"/>
    <w:rsid w:val="002E365C"/>
    <w:rsid w:val="002F39E9"/>
    <w:rsid w:val="00310E9C"/>
    <w:rsid w:val="00332971"/>
    <w:rsid w:val="003636FF"/>
    <w:rsid w:val="00376CDA"/>
    <w:rsid w:val="003976EA"/>
    <w:rsid w:val="003B6E79"/>
    <w:rsid w:val="00443BC9"/>
    <w:rsid w:val="004B7ABF"/>
    <w:rsid w:val="00557DAF"/>
    <w:rsid w:val="0059421C"/>
    <w:rsid w:val="006101EA"/>
    <w:rsid w:val="00656E00"/>
    <w:rsid w:val="00680FEB"/>
    <w:rsid w:val="006B7DB1"/>
    <w:rsid w:val="00727246"/>
    <w:rsid w:val="00744204"/>
    <w:rsid w:val="008050F5"/>
    <w:rsid w:val="00833AEF"/>
    <w:rsid w:val="00857C05"/>
    <w:rsid w:val="00871D4F"/>
    <w:rsid w:val="00886415"/>
    <w:rsid w:val="008E1B29"/>
    <w:rsid w:val="00912CEE"/>
    <w:rsid w:val="00927859"/>
    <w:rsid w:val="00935511"/>
    <w:rsid w:val="009B54F7"/>
    <w:rsid w:val="00AC10CE"/>
    <w:rsid w:val="00C22415"/>
    <w:rsid w:val="00C57FE5"/>
    <w:rsid w:val="00D464BC"/>
    <w:rsid w:val="00D953A2"/>
    <w:rsid w:val="00DC7406"/>
    <w:rsid w:val="00E037A0"/>
    <w:rsid w:val="00E273C7"/>
    <w:rsid w:val="00E840F1"/>
    <w:rsid w:val="00F23FC6"/>
    <w:rsid w:val="00FB383C"/>
    <w:rsid w:val="00FD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52"/>
        <o:r id="V:Rule23" type="connector" idref="#_x0000_s1047"/>
        <o:r id="V:Rule24" type="connector" idref="#_x0000_s1036"/>
        <o:r id="V:Rule25" type="connector" idref="#_x0000_s1041"/>
        <o:r id="V:Rule26" type="connector" idref="#_x0000_s1131"/>
        <o:r id="V:Rule27" type="connector" idref="#_x0000_s1043"/>
        <o:r id="V:Rule28" type="connector" idref="#_x0000_s1061"/>
        <o:r id="V:Rule29" type="connector" idref="#_x0000_s1129"/>
        <o:r id="V:Rule30" type="connector" idref="#_x0000_s1042"/>
        <o:r id="V:Rule31" type="connector" idref="#_x0000_s1133"/>
        <o:r id="V:Rule32" type="connector" idref="#_x0000_s1059"/>
        <o:r id="V:Rule33" type="connector" idref="#_x0000_s1035"/>
        <o:r id="V:Rule34" type="connector" idref="#_x0000_s1040"/>
        <o:r id="V:Rule35" type="connector" idref="#_x0000_s1050"/>
        <o:r id="V:Rule36" type="connector" idref="#_x0000_s1069"/>
        <o:r id="V:Rule37" type="connector" idref="#_x0000_s1044"/>
        <o:r id="V:Rule38" type="connector" idref="#_x0000_s1140"/>
        <o:r id="V:Rule39" type="connector" idref="#_x0000_s1135"/>
        <o:r id="V:Rule40" type="connector" idref="#_x0000_s1137"/>
        <o:r id="V:Rule41" type="connector" idref="#_x0000_s1138"/>
        <o:r id="V:Rule4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9007-D6CB-4959-8892-CDB91F92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olalekanfadimine</dc:creator>
  <cp:lastModifiedBy>olalekanfadimine</cp:lastModifiedBy>
  <cp:revision>4</cp:revision>
  <cp:lastPrinted>2020-03-23T16:13:00Z</cp:lastPrinted>
  <dcterms:created xsi:type="dcterms:W3CDTF">2020-03-23T15:57:00Z</dcterms:created>
  <dcterms:modified xsi:type="dcterms:W3CDTF">2020-03-24T11:06:00Z</dcterms:modified>
</cp:coreProperties>
</file>